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1B4" w:rsidRPr="00892958" w:rsidRDefault="008A21B4" w:rsidP="001B6E66">
      <w:pPr>
        <w:jc w:val="center"/>
        <w:rPr>
          <w:rFonts w:ascii="Calibri" w:hAnsi="Calibri" w:cs="Calibri"/>
          <w:caps/>
          <w:sz w:val="32"/>
          <w:szCs w:val="32"/>
        </w:rPr>
      </w:pPr>
      <w:r w:rsidRPr="00892958">
        <w:rPr>
          <w:rFonts w:ascii="Calibri" w:hAnsi="Calibri" w:cs="Calibri"/>
          <w:caps/>
          <w:sz w:val="32"/>
          <w:szCs w:val="32"/>
        </w:rPr>
        <w:t>Stronger High School Graduation Requirements</w:t>
      </w:r>
    </w:p>
    <w:p w:rsidR="008A21B4" w:rsidRPr="00892958" w:rsidRDefault="008A21B4" w:rsidP="001B6E66">
      <w:pPr>
        <w:pBdr>
          <w:bottom w:val="single" w:sz="12" w:space="1" w:color="auto"/>
        </w:pBdr>
        <w:jc w:val="center"/>
        <w:rPr>
          <w:rFonts w:ascii="Calibri" w:hAnsi="Calibri" w:cs="Calibri"/>
          <w:sz w:val="32"/>
          <w:szCs w:val="32"/>
        </w:rPr>
      </w:pPr>
      <w:r w:rsidRPr="00892958">
        <w:rPr>
          <w:rFonts w:ascii="Calibri" w:hAnsi="Calibri" w:cs="Calibri"/>
          <w:sz w:val="32"/>
          <w:szCs w:val="32"/>
        </w:rPr>
        <w:t>Fact Sheet and Frequently Asked Questions</w:t>
      </w:r>
    </w:p>
    <w:p w:rsidR="008A21B4" w:rsidRDefault="008A21B4" w:rsidP="001B6E66">
      <w:pPr>
        <w:pBdr>
          <w:bottom w:val="single" w:sz="12" w:space="1" w:color="auto"/>
        </w:pBdr>
        <w:jc w:val="center"/>
        <w:rPr>
          <w:rFonts w:ascii="Calibri" w:hAnsi="Calibri" w:cs="Calibri"/>
        </w:rPr>
      </w:pPr>
    </w:p>
    <w:p w:rsidR="008A21B4" w:rsidRDefault="008A21B4" w:rsidP="001B6E66">
      <w:pPr>
        <w:jc w:val="center"/>
        <w:rPr>
          <w:rFonts w:ascii="Calibri" w:hAnsi="Calibri" w:cs="Calibri"/>
        </w:rPr>
      </w:pPr>
    </w:p>
    <w:p w:rsidR="008A21B4" w:rsidRPr="005B60A3" w:rsidRDefault="008A21B4" w:rsidP="001B6E66">
      <w:pPr>
        <w:autoSpaceDE w:val="0"/>
        <w:autoSpaceDN w:val="0"/>
        <w:adjustRightInd w:val="0"/>
      </w:pPr>
      <w:r>
        <w:tab/>
      </w:r>
      <w:r w:rsidRPr="005B60A3">
        <w:t xml:space="preserve">On </w:t>
      </w:r>
      <w:smartTag w:uri="urn:schemas-microsoft-com:office:smarttags" w:element="date">
        <w:smartTagPr>
          <w:attr w:name="Month" w:val="1"/>
          <w:attr w:name="Day" w:val="8"/>
          <w:attr w:name="Year" w:val="2010"/>
        </w:smartTagPr>
        <w:r w:rsidRPr="005B60A3">
          <w:t>January 8, 2010</w:t>
        </w:r>
      </w:smartTag>
      <w:r w:rsidRPr="005B60A3">
        <w:t>, following approval</w:t>
      </w:r>
      <w:r>
        <w:t>s</w:t>
      </w:r>
      <w:r w:rsidRPr="005B60A3">
        <w:t xml:space="preserve"> by the state’s Independent Regulatory Review Commission and the Attorney General, the State Board of Education published changes to Chapter 4 that set stronger, more consistent high school graduation requirements for students</w:t>
      </w:r>
      <w:r>
        <w:t>,</w:t>
      </w:r>
      <w:r w:rsidRPr="005B60A3">
        <w:t xml:space="preserve"> beginning with the class of 2015.  </w:t>
      </w:r>
    </w:p>
    <w:p w:rsidR="008A21B4" w:rsidRPr="005B60A3" w:rsidRDefault="008A21B4" w:rsidP="001B6E66">
      <w:pPr>
        <w:autoSpaceDE w:val="0"/>
        <w:autoSpaceDN w:val="0"/>
        <w:adjustRightInd w:val="0"/>
      </w:pPr>
    </w:p>
    <w:p w:rsidR="008A21B4" w:rsidRDefault="008A21B4" w:rsidP="001B6E66">
      <w:pPr>
        <w:autoSpaceDE w:val="0"/>
        <w:autoSpaceDN w:val="0"/>
        <w:adjustRightInd w:val="0"/>
      </w:pPr>
      <w:r>
        <w:tab/>
      </w:r>
      <w:r w:rsidRPr="005B60A3">
        <w:t xml:space="preserve">Under the new regulation, students can meet graduation requirements through </w:t>
      </w:r>
      <w:r w:rsidRPr="003B3986">
        <w:rPr>
          <w:u w:val="single"/>
        </w:rPr>
        <w:t>any or a combination</w:t>
      </w:r>
      <w:r w:rsidRPr="005B60A3">
        <w:t xml:space="preserve"> of the following options:</w:t>
      </w:r>
    </w:p>
    <w:p w:rsidR="008A21B4" w:rsidRPr="00356C06" w:rsidRDefault="008A21B4" w:rsidP="00C12B1B">
      <w:pPr>
        <w:autoSpaceDE w:val="0"/>
        <w:autoSpaceDN w:val="0"/>
        <w:adjustRightInd w:val="0"/>
        <w:jc w:val="center"/>
      </w:pPr>
      <w:r>
        <w:rPr>
          <w:noProof/>
        </w:rPr>
      </w:r>
      <w:r>
        <w:pict>
          <v:group id="_x0000_s1026" editas="canvas" style="width:315pt;height:216.15pt;mso-position-horizontal-relative:char;mso-position-vertical-relative:line" coordorigin="2520,2186" coordsize="5250,370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520;top:2186;width:5250;height:3706" o:preferrelative="f">
              <v:fill o:detectmouseclick="t"/>
              <v:path o:extrusionok="t" o:connecttype="none"/>
              <o:lock v:ext="edit" text="t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28" type="#_x0000_t13" style="position:absolute;left:2670;top:2649;width:3150;height:1148" fillcolor="#ff9">
              <v:textbox style="mso-next-textbox:#_x0000_s1028">
                <w:txbxContent>
                  <w:p w:rsidR="008A21B4" w:rsidRPr="00356C06" w:rsidRDefault="008A21B4">
                    <w:pPr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1. </w:t>
                    </w:r>
                    <w:r w:rsidRPr="00356C06">
                      <w:rPr>
                        <w:rFonts w:ascii="Calibri" w:hAnsi="Calibri" w:cs="Calibri"/>
                        <w:sz w:val="22"/>
                        <w:szCs w:val="22"/>
                      </w:rPr>
                      <w:t>Successful course completion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, with </w:t>
                    </w:r>
                    <w:r w:rsidRPr="00356C06">
                      <w:rPr>
                        <w:rFonts w:ascii="Calibri" w:hAnsi="Calibri" w:cs="Calibri"/>
                        <w:sz w:val="22"/>
                        <w:szCs w:val="22"/>
                      </w:rPr>
                      <w:t>Keystone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 final exam</w:t>
                    </w:r>
                    <w:r w:rsidRPr="00356C06"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</v:shape>
            <v:shape id="_x0000_s1029" type="#_x0000_t13" style="position:absolute;left:2670;top:3420;width:2700;height:1148" fillcolor="yellow">
              <v:textbox style="mso-next-textbox:#_x0000_s1029">
                <w:txbxContent>
                  <w:p w:rsidR="008A21B4" w:rsidRPr="00356C06" w:rsidRDefault="008A21B4">
                    <w:pPr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2. Rigorous, independently-validated </w:t>
                    </w:r>
                    <w:r w:rsidRPr="00356C06">
                      <w:rPr>
                        <w:rFonts w:ascii="Calibri" w:hAnsi="Calibri" w:cs="Calibri"/>
                        <w:sz w:val="22"/>
                        <w:szCs w:val="22"/>
                      </w:rPr>
                      <w:t>local assessment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>s</w:t>
                    </w:r>
                  </w:p>
                </w:txbxContent>
              </v:textbox>
            </v:shape>
            <v:shape id="_x0000_s1030" type="#_x0000_t13" style="position:absolute;left:2670;top:4192;width:2250;height:1147" fillcolor="#fc0">
              <v:textbox style="mso-next-textbox:#_x0000_s1030">
                <w:txbxContent>
                  <w:p w:rsidR="008A21B4" w:rsidRPr="00356C06" w:rsidRDefault="008A21B4">
                    <w:pPr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3. AP or </w:t>
                    </w:r>
                    <w:r w:rsidRPr="00356C06">
                      <w:rPr>
                        <w:rFonts w:ascii="Calibri" w:hAnsi="Calibri" w:cs="Calibri"/>
                        <w:sz w:val="22"/>
                        <w:szCs w:val="22"/>
                      </w:rPr>
                      <w:t>International Baccalaureate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 exams</w:t>
                    </w:r>
                  </w:p>
                </w:txbxContent>
              </v:textbox>
            </v:shape>
            <v:shape id="_x0000_s1031" type="#_x0000_t13" style="position:absolute;left:5220;top:2649;width:2163;height:2982" fillcolor="#f93">
              <v:textbox style="mso-next-textbox:#_x0000_s1031">
                <w:txbxContent>
                  <w:p w:rsidR="008A21B4" w:rsidRPr="00892958" w:rsidRDefault="008A21B4" w:rsidP="00356C06">
                    <w:pPr>
                      <w:shd w:val="clear" w:color="auto" w:fill="FF9900"/>
                      <w:jc w:val="center"/>
                      <w:rPr>
                        <w:rFonts w:ascii="Calibri" w:hAnsi="Calibri" w:cs="Calibri"/>
                        <w:b/>
                        <w:bCs/>
                        <w:sz w:val="32"/>
                        <w:szCs w:val="32"/>
                      </w:rPr>
                    </w:pPr>
                    <w:r w:rsidRPr="00892958">
                      <w:rPr>
                        <w:rFonts w:ascii="Calibri" w:hAnsi="Calibri" w:cs="Calibri"/>
                        <w:b/>
                        <w:bCs/>
                        <w:sz w:val="32"/>
                        <w:szCs w:val="32"/>
                      </w:rPr>
                      <w:t>OR ANY</w:t>
                    </w:r>
                  </w:p>
                  <w:p w:rsidR="008A21B4" w:rsidRPr="00892958" w:rsidRDefault="008A21B4" w:rsidP="00356C06">
                    <w:pPr>
                      <w:shd w:val="clear" w:color="auto" w:fill="FF9900"/>
                      <w:jc w:val="center"/>
                      <w:rPr>
                        <w:rFonts w:ascii="Calibri" w:hAnsi="Calibri" w:cs="Calibri"/>
                        <w:b/>
                        <w:bCs/>
                        <w:sz w:val="72"/>
                        <w:szCs w:val="72"/>
                      </w:rPr>
                    </w:pPr>
                    <w:r w:rsidRPr="00892958">
                      <w:rPr>
                        <w:rFonts w:ascii="Calibri" w:hAnsi="Calibri" w:cs="Calibri"/>
                        <w:b/>
                        <w:bCs/>
                        <w:sz w:val="32"/>
                        <w:szCs w:val="32"/>
                      </w:rPr>
                      <w:t>COMBINATION</w:t>
                    </w:r>
                    <w:r>
                      <w:rPr>
                        <w:rFonts w:ascii="Calibri" w:hAnsi="Calibri" w:cs="Calibri"/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 w:rsidRPr="00892958">
                      <w:rPr>
                        <w:rFonts w:ascii="Calibri" w:hAnsi="Calibri" w:cs="Calibri"/>
                        <w:b/>
                        <w:bCs/>
                        <w:sz w:val="72"/>
                        <w:szCs w:val="72"/>
                      </w:rPr>
                      <w:t>=</w:t>
                    </w:r>
                  </w:p>
                </w:txbxContent>
              </v:textbox>
            </v:shape>
            <w10:anchorlock/>
          </v:group>
        </w:pict>
      </w:r>
      <w:r>
        <w:rPr>
          <w:noProof/>
        </w:rPr>
        <w:pict>
          <v:shape id="Picture 2" o:spid="_x0000_i1026" type="#_x0000_t75" alt="pde__cap_logo_final" style="width:108pt;height:147.75pt;visibility:visible">
            <v:imagedata r:id="rId7" o:title=""/>
          </v:shape>
        </w:pict>
      </w:r>
    </w:p>
    <w:p w:rsidR="008A21B4" w:rsidRDefault="008A21B4" w:rsidP="001B6E66">
      <w:pPr>
        <w:autoSpaceDE w:val="0"/>
        <w:autoSpaceDN w:val="0"/>
        <w:adjustRightInd w:val="0"/>
      </w:pPr>
    </w:p>
    <w:p w:rsidR="008A21B4" w:rsidRPr="00892958" w:rsidRDefault="008A21B4" w:rsidP="001B6E66">
      <w:pPr>
        <w:autoSpaceDE w:val="0"/>
        <w:autoSpaceDN w:val="0"/>
        <w:adjustRightInd w:val="0"/>
        <w:rPr>
          <w:rFonts w:ascii="Calibri" w:hAnsi="Calibri" w:cs="Calibri"/>
          <w:b/>
          <w:bCs/>
          <w:caps/>
          <w:sz w:val="28"/>
          <w:szCs w:val="28"/>
          <w:u w:val="single"/>
        </w:rPr>
      </w:pPr>
      <w:r w:rsidRPr="00892958">
        <w:rPr>
          <w:rFonts w:ascii="Calibri" w:hAnsi="Calibri" w:cs="Calibri"/>
          <w:b/>
          <w:bCs/>
          <w:caps/>
          <w:sz w:val="28"/>
          <w:szCs w:val="28"/>
          <w:u w:val="single"/>
        </w:rPr>
        <w:t xml:space="preserve">Option 1 – Demonstrate proficiency </w:t>
      </w:r>
      <w:smartTag w:uri="urn:schemas-microsoft-com:office:smarttags" w:element="stockticker">
        <w:r w:rsidRPr="00892958">
          <w:rPr>
            <w:rFonts w:ascii="Calibri" w:hAnsi="Calibri" w:cs="Calibri"/>
            <w:b/>
            <w:bCs/>
            <w:caps/>
            <w:sz w:val="28"/>
            <w:szCs w:val="28"/>
            <w:u w:val="single"/>
          </w:rPr>
          <w:t>core</w:t>
        </w:r>
      </w:smartTag>
      <w:r w:rsidRPr="00892958">
        <w:rPr>
          <w:rFonts w:ascii="Calibri" w:hAnsi="Calibri" w:cs="Calibri"/>
          <w:b/>
          <w:bCs/>
          <w:caps/>
          <w:sz w:val="28"/>
          <w:szCs w:val="28"/>
          <w:u w:val="single"/>
        </w:rPr>
        <w:t xml:space="preserve"> subjects</w:t>
      </w:r>
      <w:r>
        <w:rPr>
          <w:rFonts w:ascii="Calibri" w:hAnsi="Calibri" w:cs="Calibri"/>
          <w:b/>
          <w:bCs/>
          <w:caps/>
          <w:sz w:val="28"/>
          <w:szCs w:val="28"/>
        </w:rPr>
        <w:t xml:space="preserve">: </w:t>
      </w:r>
      <w:r w:rsidRPr="00892958">
        <w:t>For</w:t>
      </w:r>
      <w:r>
        <w:t xml:space="preserve"> the class of 2014-15, students will demonstrate proficiency in </w:t>
      </w:r>
      <w:r w:rsidRPr="005B60A3">
        <w:t>English composition, literature, algebra I and biology, with a Keystone final exam counting for one-third of the final course grade.  In 2017, requirements under this option will be expanded to include:</w:t>
      </w:r>
    </w:p>
    <w:p w:rsidR="008A21B4" w:rsidRPr="00691BE5" w:rsidRDefault="008A21B4" w:rsidP="001B6E66">
      <w:pPr>
        <w:autoSpaceDE w:val="0"/>
        <w:autoSpaceDN w:val="0"/>
        <w:adjustRightInd w:val="0"/>
      </w:pPr>
    </w:p>
    <w:p w:rsidR="008A21B4" w:rsidRPr="005B60A3" w:rsidRDefault="008A21B4" w:rsidP="00636BB4">
      <w:pPr>
        <w:numPr>
          <w:ilvl w:val="0"/>
          <w:numId w:val="1"/>
        </w:numPr>
        <w:autoSpaceDE w:val="0"/>
        <w:autoSpaceDN w:val="0"/>
        <w:adjustRightInd w:val="0"/>
      </w:pPr>
      <w:r w:rsidRPr="005B60A3">
        <w:t xml:space="preserve">passing 2 English courses (composition and literature); </w:t>
      </w:r>
    </w:p>
    <w:p w:rsidR="008A21B4" w:rsidRPr="005B60A3" w:rsidRDefault="008A21B4" w:rsidP="00636BB4">
      <w:pPr>
        <w:numPr>
          <w:ilvl w:val="0"/>
          <w:numId w:val="1"/>
        </w:numPr>
        <w:autoSpaceDE w:val="0"/>
        <w:autoSpaceDN w:val="0"/>
        <w:adjustRightInd w:val="0"/>
      </w:pPr>
      <w:r w:rsidRPr="005B60A3">
        <w:t>passing 2 math courses (algebra I</w:t>
      </w:r>
      <w:r>
        <w:t>,</w:t>
      </w:r>
      <w:r w:rsidRPr="005B60A3">
        <w:t xml:space="preserve"> </w:t>
      </w:r>
      <w:r>
        <w:t>algebra</w:t>
      </w:r>
      <w:r w:rsidRPr="005B60A3">
        <w:t xml:space="preserve"> II</w:t>
      </w:r>
      <w:r>
        <w:t>,</w:t>
      </w:r>
      <w:r w:rsidRPr="005B60A3">
        <w:t xml:space="preserve"> </w:t>
      </w:r>
      <w:r>
        <w:t>or</w:t>
      </w:r>
      <w:r w:rsidRPr="005B60A3">
        <w:t xml:space="preserve"> geometry); </w:t>
      </w:r>
    </w:p>
    <w:p w:rsidR="008A21B4" w:rsidRPr="005B60A3" w:rsidRDefault="008A21B4" w:rsidP="00636BB4">
      <w:pPr>
        <w:numPr>
          <w:ilvl w:val="0"/>
          <w:numId w:val="1"/>
        </w:numPr>
        <w:autoSpaceDE w:val="0"/>
        <w:autoSpaceDN w:val="0"/>
        <w:adjustRightInd w:val="0"/>
      </w:pPr>
      <w:r w:rsidRPr="005B60A3">
        <w:t>passing 1 science course (biology or chemistry); and</w:t>
      </w:r>
    </w:p>
    <w:p w:rsidR="008A21B4" w:rsidRPr="005B60A3" w:rsidRDefault="008A21B4" w:rsidP="00636BB4">
      <w:pPr>
        <w:numPr>
          <w:ilvl w:val="0"/>
          <w:numId w:val="1"/>
        </w:numPr>
        <w:autoSpaceDE w:val="0"/>
        <w:autoSpaceDN w:val="0"/>
        <w:adjustRightInd w:val="0"/>
      </w:pPr>
      <w:r w:rsidRPr="005B60A3">
        <w:t>passing 1 social studies course (options include civics, American history or world history).</w:t>
      </w:r>
    </w:p>
    <w:p w:rsidR="008A21B4" w:rsidRPr="005B60A3" w:rsidRDefault="008A21B4" w:rsidP="001B6E66">
      <w:pPr>
        <w:autoSpaceDE w:val="0"/>
        <w:autoSpaceDN w:val="0"/>
        <w:adjustRightInd w:val="0"/>
      </w:pPr>
    </w:p>
    <w:p w:rsidR="008A21B4" w:rsidRPr="005B60A3" w:rsidRDefault="008A21B4" w:rsidP="001B6E66">
      <w:pPr>
        <w:autoSpaceDE w:val="0"/>
        <w:autoSpaceDN w:val="0"/>
        <w:adjustRightInd w:val="0"/>
      </w:pPr>
      <w:r w:rsidRPr="005B60A3">
        <w:t xml:space="preserve">Like existing final exams, Keystone Exams will be short (approximately </w:t>
      </w:r>
      <w:smartTag w:uri="urn:schemas-microsoft-com:office:smarttags" w:element="time">
        <w:smartTagPr>
          <w:attr w:name="Hour" w:val="13"/>
          <w:attr w:name="Minute" w:val="58"/>
        </w:smartTagPr>
        <w:r w:rsidRPr="005B60A3">
          <w:t>2 to 2</w:t>
        </w:r>
      </w:smartTag>
      <w:r w:rsidRPr="005B60A3">
        <w:t xml:space="preserve"> ½ hours), subject-specific assessments that students take at the end of a course. Unlike existing final exams, students will be able to retake the assessments in whole or in part and students who do not test well can complete a project-based alternative assessment. Under the regulation, no student will be denied a high school diploma based on test scores alone as teacher-assigned grades will constitute a majority (67%) of the course grade.</w:t>
      </w:r>
    </w:p>
    <w:p w:rsidR="008A21B4" w:rsidRPr="005B60A3" w:rsidRDefault="008A21B4" w:rsidP="001B6E66">
      <w:pPr>
        <w:autoSpaceDE w:val="0"/>
        <w:autoSpaceDN w:val="0"/>
        <w:adjustRightInd w:val="0"/>
      </w:pPr>
    </w:p>
    <w:p w:rsidR="008A21B4" w:rsidRPr="00C722CE" w:rsidRDefault="008A21B4" w:rsidP="001B6E66">
      <w:pPr>
        <w:autoSpaceDE w:val="0"/>
        <w:autoSpaceDN w:val="0"/>
        <w:adjustRightInd w:val="0"/>
        <w:rPr>
          <w:b/>
          <w:bCs/>
          <w:caps/>
          <w:u w:val="single"/>
        </w:rPr>
      </w:pPr>
      <w:r w:rsidRPr="00892958">
        <w:rPr>
          <w:rFonts w:ascii="Calibri" w:hAnsi="Calibri" w:cs="Calibri"/>
          <w:b/>
          <w:bCs/>
          <w:caps/>
          <w:sz w:val="28"/>
          <w:szCs w:val="28"/>
          <w:u w:val="single"/>
        </w:rPr>
        <w:t>Option 2 – Pass local assessments</w:t>
      </w:r>
      <w:r w:rsidRPr="005B60A3">
        <w:t xml:space="preserve"> that have been independently validated. This regulation preserves local control but sets consistent standards for locally-developed measures to ensure rigorous assessments, fair administration, and reliable results.  The state will share validation costs with local districts.</w:t>
      </w:r>
    </w:p>
    <w:p w:rsidR="008A21B4" w:rsidRPr="005B60A3" w:rsidRDefault="008A21B4" w:rsidP="001B6E66">
      <w:pPr>
        <w:autoSpaceDE w:val="0"/>
        <w:autoSpaceDN w:val="0"/>
        <w:adjustRightInd w:val="0"/>
      </w:pPr>
    </w:p>
    <w:p w:rsidR="008A21B4" w:rsidRPr="00C722CE" w:rsidRDefault="008A21B4" w:rsidP="001B6E66">
      <w:pPr>
        <w:autoSpaceDE w:val="0"/>
        <w:autoSpaceDN w:val="0"/>
        <w:adjustRightInd w:val="0"/>
        <w:rPr>
          <w:b/>
          <w:bCs/>
          <w:caps/>
          <w:u w:val="single"/>
        </w:rPr>
      </w:pPr>
      <w:r w:rsidRPr="00892958">
        <w:rPr>
          <w:rFonts w:ascii="Calibri" w:hAnsi="Calibri" w:cs="Calibri"/>
          <w:b/>
          <w:bCs/>
          <w:caps/>
          <w:sz w:val="28"/>
          <w:szCs w:val="28"/>
          <w:u w:val="single"/>
        </w:rPr>
        <w:t>Option 3 – Pass rigorous national assessments</w:t>
      </w:r>
      <w:r w:rsidRPr="005B60A3">
        <w:t xml:space="preserve"> such as Advanced Placement or International Baccalaureate exams.</w:t>
      </w:r>
    </w:p>
    <w:p w:rsidR="008A21B4" w:rsidRDefault="008A21B4" w:rsidP="001B6E66">
      <w:pPr>
        <w:autoSpaceDE w:val="0"/>
        <w:autoSpaceDN w:val="0"/>
        <w:adjustRightInd w:val="0"/>
      </w:pPr>
    </w:p>
    <w:p w:rsidR="008A21B4" w:rsidRDefault="008A21B4" w:rsidP="001B6E66">
      <w:pPr>
        <w:autoSpaceDE w:val="0"/>
        <w:autoSpaceDN w:val="0"/>
        <w:adjustRightInd w:val="0"/>
      </w:pPr>
      <w:r>
        <w:tab/>
        <w:t>Importantly, t</w:t>
      </w:r>
      <w:r w:rsidRPr="005B60A3">
        <w:t xml:space="preserve">he regulation also responds to calls to reduce the amount of testing in </w:t>
      </w:r>
      <w:smartTag w:uri="urn:schemas-microsoft-com:office:smarttags" w:element="place">
        <w:smartTag w:uri="urn:schemas-microsoft-com:office:smarttags" w:element="State">
          <w:r w:rsidRPr="005B60A3">
            <w:t>Pennsylvania</w:t>
          </w:r>
        </w:smartTag>
      </w:smartTag>
      <w:r w:rsidRPr="005B60A3">
        <w:t xml:space="preserve">’s high schools. </w:t>
      </w:r>
      <w:r>
        <w:t xml:space="preserve"> </w:t>
      </w:r>
      <w:r w:rsidRPr="005B60A3">
        <w:t xml:space="preserve">Under this plan, beginning the 2012-13 school year, three Keystone Exams in algebra I, literature and biology will replace the 11th grade Pennsylvania System of School Assessment (PSSA) tests. </w:t>
      </w:r>
      <w:r>
        <w:t xml:space="preserve"> </w:t>
      </w:r>
      <w:r w:rsidRPr="005B60A3">
        <w:t xml:space="preserve">This change will reduce annual testing </w:t>
      </w:r>
      <w:r>
        <w:t xml:space="preserve">time by approximately 18 hours – </w:t>
      </w:r>
      <w:r w:rsidRPr="005B60A3">
        <w:t xml:space="preserve">the equivalent of three school days. </w:t>
      </w:r>
      <w:r>
        <w:t xml:space="preserve"> </w:t>
      </w:r>
      <w:r w:rsidRPr="005B60A3">
        <w:t>The PSSA will be retained for use in the elementary and middle grades.</w:t>
      </w:r>
    </w:p>
    <w:p w:rsidR="008A21B4" w:rsidRDefault="008A21B4" w:rsidP="001B6E66">
      <w:pPr>
        <w:autoSpaceDE w:val="0"/>
        <w:autoSpaceDN w:val="0"/>
        <w:adjustRightInd w:val="0"/>
      </w:pPr>
    </w:p>
    <w:p w:rsidR="008A21B4" w:rsidRPr="00892958" w:rsidRDefault="008A21B4" w:rsidP="00C722CE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aps/>
          <w:sz w:val="28"/>
          <w:szCs w:val="28"/>
          <w:u w:val="single"/>
        </w:rPr>
      </w:pPr>
      <w:r w:rsidRPr="00892958">
        <w:rPr>
          <w:rFonts w:ascii="Calibri" w:hAnsi="Calibri" w:cs="Calibri"/>
          <w:b/>
          <w:bCs/>
          <w:caps/>
          <w:sz w:val="28"/>
          <w:szCs w:val="28"/>
          <w:u w:val="single"/>
        </w:rPr>
        <w:t>Frequently Asked Questions</w:t>
      </w:r>
    </w:p>
    <w:p w:rsidR="008A21B4" w:rsidRPr="002F5327" w:rsidRDefault="008A21B4" w:rsidP="00C722CE">
      <w:pPr>
        <w:autoSpaceDE w:val="0"/>
        <w:autoSpaceDN w:val="0"/>
        <w:adjustRightInd w:val="0"/>
        <w:jc w:val="center"/>
        <w:rPr>
          <w:caps/>
        </w:rPr>
      </w:pPr>
    </w:p>
    <w:p w:rsidR="008A21B4" w:rsidRPr="00892958" w:rsidRDefault="008A21B4" w:rsidP="002F5327">
      <w:pPr>
        <w:autoSpaceDE w:val="0"/>
        <w:autoSpaceDN w:val="0"/>
        <w:adjustRightInd w:val="0"/>
        <w:rPr>
          <w:rFonts w:ascii="Calibri" w:hAnsi="Calibri" w:cs="Calibri"/>
          <w:b/>
          <w:bCs/>
          <w:caps/>
          <w:sz w:val="28"/>
          <w:szCs w:val="28"/>
        </w:rPr>
      </w:pPr>
      <w:r w:rsidRPr="00892958">
        <w:rPr>
          <w:rFonts w:ascii="Calibri" w:hAnsi="Calibri" w:cs="Calibri"/>
          <w:b/>
          <w:bCs/>
          <w:caps/>
          <w:sz w:val="28"/>
          <w:szCs w:val="28"/>
        </w:rPr>
        <w:t>LOCAL ASSESSMENT OPTION:</w:t>
      </w:r>
    </w:p>
    <w:p w:rsidR="008A21B4" w:rsidRDefault="008A21B4" w:rsidP="00C722CE">
      <w:pPr>
        <w:autoSpaceDE w:val="0"/>
        <w:autoSpaceDN w:val="0"/>
        <w:adjustRightInd w:val="0"/>
        <w:jc w:val="center"/>
        <w:rPr>
          <w:caps/>
        </w:rPr>
      </w:pPr>
    </w:p>
    <w:p w:rsidR="008A21B4" w:rsidRPr="00E507AE" w:rsidRDefault="008A21B4" w:rsidP="00C722CE">
      <w:pPr>
        <w:numPr>
          <w:ilvl w:val="0"/>
          <w:numId w:val="2"/>
        </w:numPr>
        <w:autoSpaceDE w:val="0"/>
        <w:autoSpaceDN w:val="0"/>
        <w:adjustRightInd w:val="0"/>
        <w:rPr>
          <w:b/>
          <w:bCs/>
          <w:i/>
          <w:iCs/>
        </w:rPr>
      </w:pPr>
      <w:r w:rsidRPr="00E507AE">
        <w:rPr>
          <w:b/>
          <w:bCs/>
          <w:i/>
          <w:iCs/>
        </w:rPr>
        <w:t>Our district is planning to use locally-developed assessments to comply with the new regulation.  Must local assessments count for one-third of a student’s course grade?</w:t>
      </w:r>
    </w:p>
    <w:p w:rsidR="008A21B4" w:rsidRDefault="008A21B4" w:rsidP="00C722CE">
      <w:pPr>
        <w:autoSpaceDE w:val="0"/>
        <w:autoSpaceDN w:val="0"/>
        <w:adjustRightInd w:val="0"/>
        <w:ind w:left="360"/>
      </w:pPr>
    </w:p>
    <w:p w:rsidR="008A21B4" w:rsidRDefault="008A21B4" w:rsidP="00C722CE">
      <w:pPr>
        <w:autoSpaceDE w:val="0"/>
        <w:autoSpaceDN w:val="0"/>
        <w:adjustRightInd w:val="0"/>
        <w:ind w:left="360"/>
      </w:pPr>
      <w:r>
        <w:tab/>
        <w:t xml:space="preserve">No.  The state-designated 1/3 weight applies only to the state-developed Keystone </w:t>
      </w:r>
      <w:r>
        <w:tab/>
        <w:t xml:space="preserve">Exams.  The regulation does not set a weight for local assessments or Advanced </w:t>
      </w:r>
      <w:r>
        <w:tab/>
        <w:t>Placement or International Baccalaureate exams.</w:t>
      </w:r>
    </w:p>
    <w:p w:rsidR="008A21B4" w:rsidRDefault="008A21B4" w:rsidP="00C722CE">
      <w:pPr>
        <w:autoSpaceDE w:val="0"/>
        <w:autoSpaceDN w:val="0"/>
        <w:adjustRightInd w:val="0"/>
        <w:ind w:left="360"/>
      </w:pPr>
    </w:p>
    <w:p w:rsidR="008A21B4" w:rsidRPr="00E507AE" w:rsidRDefault="008A21B4" w:rsidP="00CB5A8B">
      <w:pPr>
        <w:numPr>
          <w:ilvl w:val="0"/>
          <w:numId w:val="2"/>
        </w:numPr>
        <w:autoSpaceDE w:val="0"/>
        <w:autoSpaceDN w:val="0"/>
        <w:adjustRightInd w:val="0"/>
        <w:rPr>
          <w:b/>
          <w:bCs/>
          <w:i/>
          <w:iCs/>
        </w:rPr>
      </w:pPr>
      <w:r w:rsidRPr="00E507AE">
        <w:rPr>
          <w:b/>
          <w:bCs/>
          <w:i/>
          <w:iCs/>
        </w:rPr>
        <w:t>How will the state evaluate locally-developed assessments?</w:t>
      </w:r>
    </w:p>
    <w:p w:rsidR="008A21B4" w:rsidRPr="00E507AE" w:rsidRDefault="008A21B4" w:rsidP="008C0375">
      <w:pPr>
        <w:autoSpaceDE w:val="0"/>
        <w:autoSpaceDN w:val="0"/>
        <w:adjustRightInd w:val="0"/>
        <w:ind w:left="360"/>
        <w:rPr>
          <w:b/>
          <w:bCs/>
          <w:i/>
          <w:iCs/>
        </w:rPr>
      </w:pPr>
    </w:p>
    <w:p w:rsidR="008A21B4" w:rsidRPr="008C0375" w:rsidRDefault="008A21B4" w:rsidP="008C0375">
      <w:pPr>
        <w:autoSpaceDE w:val="0"/>
        <w:autoSpaceDN w:val="0"/>
        <w:adjustRightInd w:val="0"/>
        <w:ind w:left="360" w:hanging="360"/>
      </w:pPr>
      <w:r>
        <w:tab/>
      </w:r>
      <w:r>
        <w:tab/>
        <w:t xml:space="preserve">For local assessments to satisfy state graduation requirements, they must meet the </w:t>
      </w:r>
      <w:r>
        <w:tab/>
        <w:t>following criteria:</w:t>
      </w:r>
    </w:p>
    <w:p w:rsidR="008A21B4" w:rsidRDefault="008A21B4" w:rsidP="008C0375">
      <w:pPr>
        <w:autoSpaceDE w:val="0"/>
        <w:autoSpaceDN w:val="0"/>
        <w:adjustRightInd w:val="0"/>
        <w:ind w:left="360"/>
        <w:rPr>
          <w:b/>
          <w:bCs/>
        </w:rPr>
      </w:pPr>
    </w:p>
    <w:p w:rsidR="008A21B4" w:rsidRPr="00CB5A8B" w:rsidRDefault="008A21B4" w:rsidP="008C0375">
      <w:pPr>
        <w:numPr>
          <w:ilvl w:val="0"/>
          <w:numId w:val="3"/>
        </w:numPr>
        <w:autoSpaceDE w:val="0"/>
        <w:autoSpaceDN w:val="0"/>
        <w:adjustRightInd w:val="0"/>
      </w:pPr>
      <w:r w:rsidRPr="00CB5A8B">
        <w:t>Alignment with state academic standards;</w:t>
      </w:r>
    </w:p>
    <w:p w:rsidR="008A21B4" w:rsidRDefault="008A21B4" w:rsidP="008C0375">
      <w:pPr>
        <w:numPr>
          <w:ilvl w:val="0"/>
          <w:numId w:val="3"/>
        </w:numPr>
        <w:autoSpaceDE w:val="0"/>
        <w:autoSpaceDN w:val="0"/>
        <w:adjustRightInd w:val="0"/>
      </w:pPr>
      <w:r w:rsidRPr="00CB5A8B">
        <w:t>Rigorous</w:t>
      </w:r>
      <w:r>
        <w:t xml:space="preserve"> expectations, </w:t>
      </w:r>
      <w:r w:rsidRPr="00CB5A8B">
        <w:t>comparable to those used for the Keystone Exams</w:t>
      </w:r>
      <w:r>
        <w:t>; and</w:t>
      </w:r>
    </w:p>
    <w:p w:rsidR="008A21B4" w:rsidRDefault="008A21B4" w:rsidP="008C0375">
      <w:pPr>
        <w:numPr>
          <w:ilvl w:val="0"/>
          <w:numId w:val="3"/>
        </w:numPr>
        <w:autoSpaceDE w:val="0"/>
        <w:autoSpaceDN w:val="0"/>
        <w:adjustRightInd w:val="0"/>
      </w:pPr>
      <w:r>
        <w:t>Administration to all students, except for those exempted by Individualized Education Plans or Gifted Individualized Education Plans</w:t>
      </w:r>
    </w:p>
    <w:p w:rsidR="008A21B4" w:rsidRPr="00CB5A8B" w:rsidRDefault="008A21B4" w:rsidP="008C0375">
      <w:pPr>
        <w:autoSpaceDE w:val="0"/>
        <w:autoSpaceDN w:val="0"/>
        <w:adjustRightInd w:val="0"/>
        <w:ind w:left="720"/>
      </w:pPr>
    </w:p>
    <w:p w:rsidR="008A21B4" w:rsidRPr="00CB5A8B" w:rsidRDefault="008A21B4" w:rsidP="008C0375">
      <w:pPr>
        <w:autoSpaceDE w:val="0"/>
        <w:autoSpaceDN w:val="0"/>
        <w:adjustRightInd w:val="0"/>
        <w:ind w:left="360"/>
      </w:pPr>
      <w:r>
        <w:tab/>
        <w:t xml:space="preserve">Additional criteria will be established by the Local Assessment Validation </w:t>
      </w:r>
      <w:r>
        <w:tab/>
        <w:t>Advisory Committee.</w:t>
      </w:r>
    </w:p>
    <w:p w:rsidR="008A21B4" w:rsidRDefault="008A21B4" w:rsidP="008C0375">
      <w:pPr>
        <w:autoSpaceDE w:val="0"/>
        <w:autoSpaceDN w:val="0"/>
        <w:adjustRightInd w:val="0"/>
        <w:ind w:left="360"/>
        <w:rPr>
          <w:b/>
          <w:bCs/>
        </w:rPr>
      </w:pPr>
    </w:p>
    <w:p w:rsidR="008A21B4" w:rsidRPr="00E507AE" w:rsidRDefault="008A21B4" w:rsidP="00CB5A8B">
      <w:pPr>
        <w:numPr>
          <w:ilvl w:val="0"/>
          <w:numId w:val="2"/>
        </w:numPr>
        <w:autoSpaceDE w:val="0"/>
        <w:autoSpaceDN w:val="0"/>
        <w:adjustRightInd w:val="0"/>
        <w:rPr>
          <w:b/>
          <w:bCs/>
          <w:i/>
          <w:iCs/>
        </w:rPr>
      </w:pPr>
      <w:r w:rsidRPr="00E507AE">
        <w:rPr>
          <w:b/>
          <w:bCs/>
          <w:i/>
          <w:iCs/>
        </w:rPr>
        <w:t>If a district plans to use local assessments for one subject, must they use local assessments for all subjects?</w:t>
      </w:r>
    </w:p>
    <w:p w:rsidR="008A21B4" w:rsidRPr="00E507AE" w:rsidRDefault="008A21B4" w:rsidP="008C0375">
      <w:pPr>
        <w:autoSpaceDE w:val="0"/>
        <w:autoSpaceDN w:val="0"/>
        <w:adjustRightInd w:val="0"/>
        <w:rPr>
          <w:b/>
          <w:bCs/>
          <w:i/>
          <w:iCs/>
        </w:rPr>
      </w:pPr>
    </w:p>
    <w:p w:rsidR="008A21B4" w:rsidRDefault="008A21B4" w:rsidP="008C0375">
      <w:pPr>
        <w:autoSpaceDE w:val="0"/>
        <w:autoSpaceDN w:val="0"/>
        <w:adjustRightInd w:val="0"/>
      </w:pPr>
      <w:r>
        <w:tab/>
        <w:t xml:space="preserve">No.  The regulation permits districts to select assessment options </w:t>
      </w:r>
      <w:r w:rsidRPr="00892958">
        <w:rPr>
          <w:u w:val="single"/>
        </w:rPr>
        <w:t>by subject area</w:t>
      </w:r>
      <w:r>
        <w:tab/>
        <w:t>from among the three options detailed on the previous page.</w:t>
      </w:r>
    </w:p>
    <w:p w:rsidR="008A21B4" w:rsidRDefault="008A21B4" w:rsidP="008C0375">
      <w:pPr>
        <w:autoSpaceDE w:val="0"/>
        <w:autoSpaceDN w:val="0"/>
        <w:adjustRightInd w:val="0"/>
      </w:pPr>
    </w:p>
    <w:p w:rsidR="008A21B4" w:rsidRPr="00E507AE" w:rsidRDefault="008A21B4" w:rsidP="002F5327">
      <w:pPr>
        <w:numPr>
          <w:ilvl w:val="0"/>
          <w:numId w:val="2"/>
        </w:numPr>
        <w:autoSpaceDE w:val="0"/>
        <w:autoSpaceDN w:val="0"/>
        <w:adjustRightInd w:val="0"/>
        <w:rPr>
          <w:b/>
          <w:bCs/>
          <w:i/>
          <w:iCs/>
        </w:rPr>
      </w:pPr>
      <w:r w:rsidRPr="00E507AE">
        <w:rPr>
          <w:b/>
          <w:bCs/>
          <w:i/>
          <w:iCs/>
        </w:rPr>
        <w:t xml:space="preserve">If a district decides to use </w:t>
      </w:r>
      <w:r w:rsidRPr="00E507AE">
        <w:rPr>
          <w:b/>
          <w:bCs/>
          <w:i/>
          <w:iCs/>
          <w:u w:val="single"/>
        </w:rPr>
        <w:t>only</w:t>
      </w:r>
      <w:r w:rsidRPr="00E507AE">
        <w:rPr>
          <w:b/>
          <w:bCs/>
          <w:i/>
          <w:iCs/>
        </w:rPr>
        <w:t xml:space="preserve"> local assessments for graduation determinations, will these count for AYP when the PSSA is replaced by the Keystone exams?</w:t>
      </w:r>
    </w:p>
    <w:p w:rsidR="008A21B4" w:rsidRPr="00E507AE" w:rsidRDefault="008A21B4" w:rsidP="002F5327">
      <w:pPr>
        <w:autoSpaceDE w:val="0"/>
        <w:autoSpaceDN w:val="0"/>
        <w:adjustRightInd w:val="0"/>
        <w:rPr>
          <w:b/>
          <w:bCs/>
          <w:i/>
          <w:iCs/>
        </w:rPr>
      </w:pPr>
    </w:p>
    <w:p w:rsidR="008A21B4" w:rsidRPr="002F5327" w:rsidRDefault="008A21B4" w:rsidP="00892958">
      <w:pPr>
        <w:autoSpaceDE w:val="0"/>
        <w:autoSpaceDN w:val="0"/>
        <w:adjustRightInd w:val="0"/>
        <w:ind w:left="720" w:hanging="720"/>
      </w:pPr>
      <w:r>
        <w:rPr>
          <w:b/>
          <w:bCs/>
        </w:rPr>
        <w:tab/>
      </w:r>
      <w:r>
        <w:t>No.</w:t>
      </w:r>
      <w:r w:rsidRPr="003832E0">
        <w:t xml:space="preserve"> </w:t>
      </w:r>
      <w:r>
        <w:t xml:space="preserve"> Provided the U.S. Department of Education approves </w:t>
      </w:r>
      <w:r w:rsidRPr="003832E0">
        <w:t>Keys</w:t>
      </w:r>
      <w:r>
        <w:t>tone e</w:t>
      </w:r>
      <w:r w:rsidRPr="003832E0">
        <w:t>xams for AYP/NCLB</w:t>
      </w:r>
      <w:r>
        <w:t xml:space="preserve"> purposes</w:t>
      </w:r>
      <w:r w:rsidRPr="003832E0">
        <w:t>, students will have</w:t>
      </w:r>
      <w:r>
        <w:t xml:space="preserve"> to take those Keystone exams (algebra 1, literature, and b</w:t>
      </w:r>
      <w:r w:rsidRPr="003832E0">
        <w:t>iology) to me</w:t>
      </w:r>
      <w:r>
        <w:t>et AYP/NCLB requirements and local assessments to meet s</w:t>
      </w:r>
      <w:r w:rsidRPr="003832E0">
        <w:t>tate graduation requirements.</w:t>
      </w:r>
    </w:p>
    <w:p w:rsidR="008A21B4" w:rsidRDefault="008A21B4" w:rsidP="008C0375">
      <w:pPr>
        <w:autoSpaceDE w:val="0"/>
        <w:autoSpaceDN w:val="0"/>
        <w:adjustRightInd w:val="0"/>
      </w:pPr>
    </w:p>
    <w:p w:rsidR="008A21B4" w:rsidRPr="00892958" w:rsidRDefault="008A21B4" w:rsidP="008C0375">
      <w:p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892958">
        <w:rPr>
          <w:rFonts w:ascii="Calibri" w:hAnsi="Calibri" w:cs="Calibri"/>
          <w:b/>
          <w:bCs/>
          <w:sz w:val="28"/>
          <w:szCs w:val="28"/>
        </w:rPr>
        <w:t>KEYSTONE EXAMS</w:t>
      </w:r>
      <w:r>
        <w:rPr>
          <w:rFonts w:ascii="Calibri" w:hAnsi="Calibri" w:cs="Calibri"/>
          <w:b/>
          <w:bCs/>
          <w:sz w:val="28"/>
          <w:szCs w:val="28"/>
        </w:rPr>
        <w:t>:</w:t>
      </w:r>
      <w:r w:rsidRPr="00892958">
        <w:rPr>
          <w:rFonts w:ascii="Calibri" w:hAnsi="Calibri" w:cs="Calibri"/>
          <w:sz w:val="28"/>
          <w:szCs w:val="28"/>
        </w:rPr>
        <w:t xml:space="preserve">  </w:t>
      </w:r>
    </w:p>
    <w:p w:rsidR="008A21B4" w:rsidRDefault="008A21B4" w:rsidP="002F5327">
      <w:pPr>
        <w:autoSpaceDE w:val="0"/>
        <w:autoSpaceDN w:val="0"/>
        <w:adjustRightInd w:val="0"/>
        <w:ind w:left="720"/>
      </w:pPr>
    </w:p>
    <w:p w:rsidR="008A21B4" w:rsidRPr="00E507AE" w:rsidRDefault="008A21B4" w:rsidP="002F5327">
      <w:pPr>
        <w:numPr>
          <w:ilvl w:val="0"/>
          <w:numId w:val="4"/>
        </w:numPr>
        <w:autoSpaceDE w:val="0"/>
        <w:autoSpaceDN w:val="0"/>
        <w:adjustRightInd w:val="0"/>
        <w:rPr>
          <w:b/>
          <w:bCs/>
          <w:i/>
          <w:iCs/>
        </w:rPr>
      </w:pPr>
      <w:r w:rsidRPr="00E507AE">
        <w:rPr>
          <w:b/>
          <w:bCs/>
          <w:i/>
          <w:iCs/>
        </w:rPr>
        <w:t>Can students retake a Keystone Exam?</w:t>
      </w:r>
    </w:p>
    <w:p w:rsidR="008A21B4" w:rsidRPr="00E507AE" w:rsidRDefault="008A21B4" w:rsidP="00DF5457">
      <w:pPr>
        <w:autoSpaceDE w:val="0"/>
        <w:autoSpaceDN w:val="0"/>
        <w:adjustRightInd w:val="0"/>
        <w:ind w:left="360"/>
        <w:rPr>
          <w:b/>
          <w:bCs/>
          <w:i/>
          <w:iCs/>
        </w:rPr>
      </w:pPr>
    </w:p>
    <w:p w:rsidR="008A21B4" w:rsidRDefault="008A21B4" w:rsidP="002F5327">
      <w:pPr>
        <w:autoSpaceDE w:val="0"/>
        <w:autoSpaceDN w:val="0"/>
        <w:adjustRightInd w:val="0"/>
        <w:ind w:left="360"/>
      </w:pPr>
      <w:r>
        <w:rPr>
          <w:b/>
          <w:bCs/>
        </w:rPr>
        <w:tab/>
      </w:r>
      <w:r>
        <w:t xml:space="preserve">Yes.  The regulation permits students who do not score proficient or above to </w:t>
      </w:r>
      <w:r>
        <w:tab/>
        <w:t>retake the exam (or exam module) at the next available testing date.</w:t>
      </w:r>
    </w:p>
    <w:p w:rsidR="008A21B4" w:rsidRDefault="008A21B4" w:rsidP="002F5327">
      <w:pPr>
        <w:autoSpaceDE w:val="0"/>
        <w:autoSpaceDN w:val="0"/>
        <w:adjustRightInd w:val="0"/>
        <w:ind w:left="360"/>
      </w:pPr>
    </w:p>
    <w:p w:rsidR="008A21B4" w:rsidRPr="00E507AE" w:rsidRDefault="008A21B4" w:rsidP="00DF28B3">
      <w:pPr>
        <w:numPr>
          <w:ilvl w:val="0"/>
          <w:numId w:val="4"/>
        </w:numPr>
        <w:autoSpaceDE w:val="0"/>
        <w:autoSpaceDN w:val="0"/>
        <w:adjustRightInd w:val="0"/>
        <w:rPr>
          <w:b/>
          <w:bCs/>
          <w:i/>
          <w:iCs/>
        </w:rPr>
      </w:pPr>
      <w:r w:rsidRPr="00E507AE">
        <w:rPr>
          <w:b/>
          <w:bCs/>
          <w:i/>
          <w:iCs/>
        </w:rPr>
        <w:t>Can a student who scores proficient or advanced retake a Keystone Exam?</w:t>
      </w:r>
    </w:p>
    <w:p w:rsidR="008A21B4" w:rsidRDefault="008A21B4" w:rsidP="00DF28B3">
      <w:pPr>
        <w:autoSpaceDE w:val="0"/>
        <w:autoSpaceDN w:val="0"/>
        <w:adjustRightInd w:val="0"/>
        <w:ind w:left="360"/>
        <w:rPr>
          <w:b/>
          <w:bCs/>
        </w:rPr>
      </w:pPr>
    </w:p>
    <w:p w:rsidR="008A21B4" w:rsidRPr="00DF28B3" w:rsidRDefault="008A21B4" w:rsidP="00DF28B3">
      <w:pPr>
        <w:autoSpaceDE w:val="0"/>
        <w:autoSpaceDN w:val="0"/>
        <w:adjustRightInd w:val="0"/>
        <w:ind w:left="360"/>
      </w:pPr>
      <w:r>
        <w:rPr>
          <w:b/>
          <w:bCs/>
        </w:rPr>
        <w:tab/>
      </w:r>
      <w:r>
        <w:t xml:space="preserve">The regulation does not preclude proficient or advanced students from re-taking a </w:t>
      </w:r>
      <w:r>
        <w:tab/>
        <w:t xml:space="preserve">Keystone Exam.  </w:t>
      </w:r>
    </w:p>
    <w:p w:rsidR="008A21B4" w:rsidRDefault="008A21B4" w:rsidP="002F5327">
      <w:pPr>
        <w:autoSpaceDE w:val="0"/>
        <w:autoSpaceDN w:val="0"/>
        <w:adjustRightInd w:val="0"/>
        <w:ind w:left="360"/>
      </w:pPr>
    </w:p>
    <w:p w:rsidR="008A21B4" w:rsidRPr="00E507AE" w:rsidRDefault="008A21B4" w:rsidP="002F5327">
      <w:pPr>
        <w:numPr>
          <w:ilvl w:val="0"/>
          <w:numId w:val="4"/>
        </w:numPr>
        <w:autoSpaceDE w:val="0"/>
        <w:autoSpaceDN w:val="0"/>
        <w:adjustRightInd w:val="0"/>
        <w:rPr>
          <w:i/>
          <w:iCs/>
        </w:rPr>
      </w:pPr>
      <w:r w:rsidRPr="00E507AE">
        <w:rPr>
          <w:b/>
          <w:bCs/>
          <w:i/>
          <w:iCs/>
        </w:rPr>
        <w:t>Can students “test-out” of a course by passing a Keystone Exam?</w:t>
      </w:r>
    </w:p>
    <w:p w:rsidR="008A21B4" w:rsidRDefault="008A21B4" w:rsidP="00DF5457">
      <w:pPr>
        <w:autoSpaceDE w:val="0"/>
        <w:autoSpaceDN w:val="0"/>
        <w:adjustRightInd w:val="0"/>
        <w:ind w:left="360"/>
        <w:rPr>
          <w:b/>
          <w:bCs/>
        </w:rPr>
      </w:pPr>
    </w:p>
    <w:p w:rsidR="008A21B4" w:rsidRDefault="008A21B4" w:rsidP="002F5327">
      <w:pPr>
        <w:autoSpaceDE w:val="0"/>
        <w:autoSpaceDN w:val="0"/>
        <w:adjustRightInd w:val="0"/>
        <w:ind w:left="360"/>
      </w:pPr>
      <w:r>
        <w:rPr>
          <w:b/>
          <w:bCs/>
        </w:rPr>
        <w:tab/>
      </w:r>
      <w:r>
        <w:t xml:space="preserve">Yes, at the district’s discretion and provided that the student scores “Advanced” </w:t>
      </w:r>
      <w:r>
        <w:tab/>
        <w:t>on the related Keystone.</w:t>
      </w:r>
    </w:p>
    <w:p w:rsidR="008A21B4" w:rsidRDefault="008A21B4" w:rsidP="002F5327">
      <w:pPr>
        <w:autoSpaceDE w:val="0"/>
        <w:autoSpaceDN w:val="0"/>
        <w:adjustRightInd w:val="0"/>
        <w:ind w:left="360"/>
      </w:pPr>
    </w:p>
    <w:p w:rsidR="008A21B4" w:rsidRPr="00E507AE" w:rsidRDefault="008A21B4" w:rsidP="002F5327">
      <w:pPr>
        <w:numPr>
          <w:ilvl w:val="0"/>
          <w:numId w:val="4"/>
        </w:numPr>
        <w:autoSpaceDE w:val="0"/>
        <w:autoSpaceDN w:val="0"/>
        <w:adjustRightInd w:val="0"/>
        <w:rPr>
          <w:b/>
          <w:bCs/>
          <w:i/>
          <w:iCs/>
        </w:rPr>
      </w:pPr>
      <w:r w:rsidRPr="00E507AE">
        <w:rPr>
          <w:b/>
          <w:bCs/>
          <w:i/>
          <w:iCs/>
        </w:rPr>
        <w:t>What is the process and timeline for replacing the 11</w:t>
      </w:r>
      <w:r w:rsidRPr="00E507AE">
        <w:rPr>
          <w:b/>
          <w:bCs/>
          <w:i/>
          <w:iCs/>
          <w:vertAlign w:val="superscript"/>
        </w:rPr>
        <w:t>th</w:t>
      </w:r>
      <w:r w:rsidRPr="00E507AE">
        <w:rPr>
          <w:b/>
          <w:bCs/>
          <w:i/>
          <w:iCs/>
        </w:rPr>
        <w:t xml:space="preserve"> grade PSSA with Keystone Exams?</w:t>
      </w:r>
    </w:p>
    <w:p w:rsidR="008A21B4" w:rsidRDefault="008A21B4" w:rsidP="002F5327">
      <w:pPr>
        <w:autoSpaceDE w:val="0"/>
        <w:autoSpaceDN w:val="0"/>
        <w:adjustRightInd w:val="0"/>
        <w:ind w:left="720"/>
        <w:rPr>
          <w:b/>
          <w:bCs/>
        </w:rPr>
      </w:pPr>
    </w:p>
    <w:p w:rsidR="008A21B4" w:rsidRDefault="008A21B4" w:rsidP="002F5327">
      <w:pPr>
        <w:autoSpaceDE w:val="0"/>
        <w:autoSpaceDN w:val="0"/>
        <w:adjustRightInd w:val="0"/>
        <w:ind w:left="720"/>
      </w:pPr>
      <w:r>
        <w:t xml:space="preserve">The process requires </w:t>
      </w:r>
      <w:smartTag w:uri="urn:schemas-microsoft-com:office:smarttags" w:element="date">
        <w:smartTagPr>
          <w:attr w:name="Year" w:val="2010"/>
          <w:attr w:name="Day" w:val="1"/>
          <w:attr w:name="Month" w:val="7"/>
        </w:smartTagPr>
        <w:smartTag w:uri="urn:schemas-microsoft-com:office:smarttags" w:element="stockticker">
          <w:r>
            <w:t>PDE</w:t>
          </w:r>
        </w:smartTag>
      </w:smartTag>
      <w:r>
        <w:t xml:space="preserve"> to document, collect, and submit evidence of test development and test quality for USDE peer review.  We anticipate approval by 2013.</w:t>
      </w:r>
    </w:p>
    <w:p w:rsidR="008A21B4" w:rsidRPr="003832E0" w:rsidRDefault="008A21B4" w:rsidP="002F5327">
      <w:pPr>
        <w:autoSpaceDE w:val="0"/>
        <w:autoSpaceDN w:val="0"/>
        <w:adjustRightInd w:val="0"/>
        <w:ind w:left="720"/>
      </w:pPr>
    </w:p>
    <w:p w:rsidR="008A21B4" w:rsidRPr="00E507AE" w:rsidRDefault="008A21B4" w:rsidP="002F5327">
      <w:pPr>
        <w:numPr>
          <w:ilvl w:val="0"/>
          <w:numId w:val="4"/>
        </w:numPr>
        <w:autoSpaceDE w:val="0"/>
        <w:autoSpaceDN w:val="0"/>
        <w:adjustRightInd w:val="0"/>
        <w:rPr>
          <w:b/>
          <w:bCs/>
          <w:i/>
          <w:iCs/>
        </w:rPr>
      </w:pPr>
      <w:r w:rsidRPr="00E507AE">
        <w:rPr>
          <w:b/>
          <w:bCs/>
          <w:i/>
          <w:iCs/>
        </w:rPr>
        <w:t>Will Keystone Exam scores for students in middle school count toward high school graduation requirements?</w:t>
      </w:r>
    </w:p>
    <w:p w:rsidR="008A21B4" w:rsidRPr="00E507AE" w:rsidRDefault="008A21B4" w:rsidP="002F5327">
      <w:pPr>
        <w:autoSpaceDE w:val="0"/>
        <w:autoSpaceDN w:val="0"/>
        <w:adjustRightInd w:val="0"/>
        <w:ind w:left="360"/>
        <w:rPr>
          <w:i/>
          <w:iCs/>
        </w:rPr>
      </w:pPr>
    </w:p>
    <w:p w:rsidR="008A21B4" w:rsidRDefault="008A21B4" w:rsidP="00CD5ADA">
      <w:pPr>
        <w:autoSpaceDE w:val="0"/>
        <w:autoSpaceDN w:val="0"/>
        <w:adjustRightInd w:val="0"/>
        <w:ind w:left="720" w:hanging="720"/>
      </w:pPr>
      <w:r>
        <w:tab/>
        <w:t>Yes.  For example, if a student takes the Keystone algebra I exam in 8</w:t>
      </w:r>
      <w:r w:rsidRPr="000165E3">
        <w:rPr>
          <w:vertAlign w:val="superscript"/>
        </w:rPr>
        <w:t>th</w:t>
      </w:r>
      <w:r>
        <w:t xml:space="preserve"> grade, it will count for one-third of that final mark.  If the student passes the course, he/she will have met the requirement for graduation.</w:t>
      </w:r>
    </w:p>
    <w:p w:rsidR="008A21B4" w:rsidRDefault="008A21B4" w:rsidP="00CD5ADA">
      <w:pPr>
        <w:autoSpaceDE w:val="0"/>
        <w:autoSpaceDN w:val="0"/>
        <w:adjustRightInd w:val="0"/>
        <w:ind w:left="720" w:hanging="720"/>
      </w:pPr>
    </w:p>
    <w:p w:rsidR="008A21B4" w:rsidRPr="00E507AE" w:rsidRDefault="008A21B4" w:rsidP="00DE4A1B">
      <w:pPr>
        <w:numPr>
          <w:ilvl w:val="0"/>
          <w:numId w:val="4"/>
        </w:numPr>
        <w:autoSpaceDE w:val="0"/>
        <w:autoSpaceDN w:val="0"/>
        <w:adjustRightInd w:val="0"/>
        <w:rPr>
          <w:b/>
          <w:bCs/>
          <w:i/>
          <w:iCs/>
        </w:rPr>
      </w:pPr>
      <w:r w:rsidRPr="00E507AE">
        <w:rPr>
          <w:b/>
          <w:bCs/>
          <w:i/>
          <w:iCs/>
        </w:rPr>
        <w:t xml:space="preserve">When will the Keystone Exam scores for students in middle school count toward AYP? </w:t>
      </w:r>
    </w:p>
    <w:p w:rsidR="008A21B4" w:rsidRDefault="008A21B4" w:rsidP="00DE4A1B">
      <w:pPr>
        <w:autoSpaceDE w:val="0"/>
        <w:autoSpaceDN w:val="0"/>
        <w:adjustRightInd w:val="0"/>
        <w:ind w:left="720"/>
      </w:pPr>
    </w:p>
    <w:p w:rsidR="008A21B4" w:rsidRDefault="008A21B4" w:rsidP="00DE4A1B">
      <w:pPr>
        <w:autoSpaceDE w:val="0"/>
        <w:autoSpaceDN w:val="0"/>
        <w:adjustRightInd w:val="0"/>
        <w:ind w:left="720"/>
      </w:pPr>
      <w:r>
        <w:t>For purposes of AYP, Keystone Exam scores will be attributed in 11</w:t>
      </w:r>
      <w:r w:rsidRPr="00DE4A1B">
        <w:rPr>
          <w:vertAlign w:val="superscript"/>
        </w:rPr>
        <w:t>th</w:t>
      </w:r>
      <w:r>
        <w:t xml:space="preserve"> grade – even though students may – and likely, will – take the relevant courses and Keystones in an earlier grade. </w:t>
      </w:r>
    </w:p>
    <w:p w:rsidR="008A21B4" w:rsidRDefault="008A21B4" w:rsidP="00DE4A1B">
      <w:pPr>
        <w:autoSpaceDE w:val="0"/>
        <w:autoSpaceDN w:val="0"/>
        <w:adjustRightInd w:val="0"/>
        <w:ind w:left="720"/>
      </w:pPr>
    </w:p>
    <w:p w:rsidR="008A21B4" w:rsidRDefault="008A21B4" w:rsidP="00DE4A1B">
      <w:pPr>
        <w:autoSpaceDE w:val="0"/>
        <w:autoSpaceDN w:val="0"/>
        <w:adjustRightInd w:val="0"/>
        <w:ind w:left="720"/>
        <w:rPr>
          <w:b/>
          <w:bCs/>
        </w:rPr>
      </w:pPr>
      <w:r w:rsidRPr="00E507AE">
        <w:rPr>
          <w:b/>
          <w:bCs/>
          <w:i/>
          <w:iCs/>
        </w:rPr>
        <w:t>What is the timeline for developing Keystone Exams and other voluntary instructional resources?</w:t>
      </w:r>
      <w:r>
        <w:rPr>
          <w:b/>
          <w:bCs/>
        </w:rPr>
        <w:t xml:space="preserve">  </w:t>
      </w:r>
    </w:p>
    <w:p w:rsidR="008A21B4" w:rsidRDefault="008A21B4" w:rsidP="00DE4A1B">
      <w:pPr>
        <w:autoSpaceDE w:val="0"/>
        <w:autoSpaceDN w:val="0"/>
        <w:adjustRightInd w:val="0"/>
        <w:ind w:left="720"/>
        <w:rPr>
          <w:b/>
          <w:bCs/>
        </w:rPr>
      </w:pPr>
    </w:p>
    <w:p w:rsidR="008A21B4" w:rsidRPr="001D47FF" w:rsidRDefault="008A21B4" w:rsidP="00DE4A1B">
      <w:pPr>
        <w:autoSpaceDE w:val="0"/>
        <w:autoSpaceDN w:val="0"/>
        <w:adjustRightInd w:val="0"/>
        <w:ind w:left="720"/>
        <w:rPr>
          <w:b/>
          <w:bCs/>
        </w:rPr>
      </w:pPr>
      <w:r>
        <w:t>Please see the table below:</w:t>
      </w:r>
    </w:p>
    <w:p w:rsidR="008A21B4" w:rsidRDefault="008A21B4" w:rsidP="00DE4A1B">
      <w:pPr>
        <w:autoSpaceDE w:val="0"/>
        <w:autoSpaceDN w:val="0"/>
        <w:adjustRightInd w:val="0"/>
        <w:ind w:left="720"/>
      </w:pPr>
    </w:p>
    <w:tbl>
      <w:tblPr>
        <w:tblW w:w="0" w:type="auto"/>
        <w:tblInd w:w="93" w:type="dxa"/>
        <w:tblLook w:val="0000"/>
      </w:tblPr>
      <w:tblGrid>
        <w:gridCol w:w="2966"/>
        <w:gridCol w:w="2967"/>
        <w:gridCol w:w="2967"/>
      </w:tblGrid>
      <w:tr w:rsidR="008A21B4" w:rsidRPr="001D47FF">
        <w:trPr>
          <w:trHeight w:val="885"/>
        </w:trPr>
        <w:tc>
          <w:tcPr>
            <w:tcW w:w="8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A21B4" w:rsidRPr="001D47FF" w:rsidRDefault="008A21B4" w:rsidP="001D47FF">
            <w:pPr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1D47FF">
              <w:rPr>
                <w:rFonts w:ascii="Calibri" w:hAnsi="Calibri" w:cs="Calibri"/>
                <w:b/>
                <w:bCs/>
                <w:caps/>
              </w:rPr>
              <w:t>Keystone Exam Development Schedule</w:t>
            </w:r>
          </w:p>
        </w:tc>
      </w:tr>
      <w:tr w:rsidR="008A21B4" w:rsidRPr="001D47FF">
        <w:trPr>
          <w:trHeight w:val="88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80"/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1D47FF">
              <w:rPr>
                <w:rFonts w:ascii="Calibri" w:hAnsi="Calibri" w:cs="Calibri"/>
                <w:b/>
                <w:bCs/>
                <w:color w:val="FFFFFF"/>
              </w:rPr>
              <w:t>Keystone Exam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80"/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1D47FF">
              <w:rPr>
                <w:rFonts w:ascii="Calibri" w:hAnsi="Calibri" w:cs="Calibri"/>
                <w:b/>
                <w:bCs/>
                <w:color w:val="FFFFFF"/>
              </w:rPr>
              <w:t>Field Test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80"/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1D47FF">
              <w:rPr>
                <w:rFonts w:ascii="Calibri" w:hAnsi="Calibri" w:cs="Calibri"/>
                <w:b/>
                <w:bCs/>
                <w:color w:val="FFFFFF"/>
              </w:rPr>
              <w:t>Available for all schools…</w:t>
            </w:r>
          </w:p>
        </w:tc>
      </w:tr>
      <w:tr w:rsidR="008A21B4" w:rsidRPr="001D47FF">
        <w:trPr>
          <w:trHeight w:val="88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Algebra I, Biology, Literature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Fall/Winter 2010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Spring 2011</w:t>
            </w:r>
          </w:p>
        </w:tc>
      </w:tr>
      <w:tr w:rsidR="008A21B4" w:rsidRPr="001D47FF">
        <w:trPr>
          <w:trHeight w:val="88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Algebra II, Geometry, Composition, US History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Spring 2011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Winter 2011/2012</w:t>
            </w:r>
          </w:p>
        </w:tc>
      </w:tr>
      <w:tr w:rsidR="008A21B4" w:rsidRPr="001D47FF">
        <w:trPr>
          <w:trHeight w:val="885"/>
        </w:trPr>
        <w:tc>
          <w:tcPr>
            <w:tcW w:w="29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Chemistry, Civics &amp; Government, World History</w:t>
            </w: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Spring 2015</w:t>
            </w: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TBD</w:t>
            </w:r>
          </w:p>
        </w:tc>
      </w:tr>
      <w:tr w:rsidR="008A21B4" w:rsidRPr="001D47FF">
        <w:trPr>
          <w:trHeight w:val="885"/>
        </w:trPr>
        <w:tc>
          <w:tcPr>
            <w:tcW w:w="89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  <w:b/>
                <w:bCs/>
                <w:caps/>
              </w:rPr>
            </w:pPr>
            <w:r>
              <w:rPr>
                <w:rFonts w:ascii="Calibri" w:hAnsi="Calibri" w:cs="Calibri"/>
                <w:b/>
                <w:bCs/>
                <w:caps/>
              </w:rPr>
              <w:t xml:space="preserve">Classroom Diagnostic Tools </w:t>
            </w:r>
            <w:r w:rsidRPr="001D47FF">
              <w:rPr>
                <w:rFonts w:ascii="Calibri" w:hAnsi="Calibri" w:cs="Calibri"/>
                <w:b/>
                <w:bCs/>
                <w:caps/>
              </w:rPr>
              <w:t>Development Schedule</w:t>
            </w:r>
          </w:p>
        </w:tc>
      </w:tr>
      <w:tr w:rsidR="008A21B4" w:rsidRPr="001D47FF">
        <w:trPr>
          <w:trHeight w:val="88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80"/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1D47FF">
              <w:rPr>
                <w:rFonts w:ascii="Calibri" w:hAnsi="Calibri" w:cs="Calibri"/>
                <w:b/>
                <w:bCs/>
                <w:color w:val="FFFFFF"/>
              </w:rPr>
              <w:t>Content Area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80"/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1D47FF">
              <w:rPr>
                <w:rFonts w:ascii="Calibri" w:hAnsi="Calibri" w:cs="Calibri"/>
                <w:b/>
                <w:bCs/>
                <w:color w:val="FFFFFF"/>
              </w:rPr>
              <w:t>Field Test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80"/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1D47FF">
              <w:rPr>
                <w:rFonts w:ascii="Calibri" w:hAnsi="Calibri" w:cs="Calibri"/>
                <w:b/>
                <w:bCs/>
                <w:color w:val="FFFFFF"/>
              </w:rPr>
              <w:t>Available for all schools…</w:t>
            </w:r>
          </w:p>
        </w:tc>
      </w:tr>
      <w:tr w:rsidR="008A21B4" w:rsidRPr="001D47FF">
        <w:trPr>
          <w:trHeight w:val="88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Mathematics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Springs 2010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Fall 2010</w:t>
            </w:r>
          </w:p>
        </w:tc>
      </w:tr>
      <w:tr w:rsidR="008A21B4" w:rsidRPr="001D47FF">
        <w:trPr>
          <w:trHeight w:val="88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Literacy:</w:t>
            </w:r>
            <w:r w:rsidRPr="001D47FF">
              <w:rPr>
                <w:rFonts w:ascii="Calibri" w:hAnsi="Calibri" w:cs="Calibri"/>
              </w:rPr>
              <w:br/>
              <w:t>Literature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Fall 2010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Winter 2010/2011</w:t>
            </w:r>
          </w:p>
        </w:tc>
      </w:tr>
      <w:tr w:rsidR="008A21B4" w:rsidRPr="001D47FF">
        <w:trPr>
          <w:trHeight w:val="88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Science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Fall 2010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Winter 2010/2011</w:t>
            </w:r>
          </w:p>
        </w:tc>
      </w:tr>
      <w:tr w:rsidR="008A21B4" w:rsidRPr="001D47FF">
        <w:trPr>
          <w:trHeight w:val="88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Literacy:</w:t>
            </w:r>
            <w:r w:rsidRPr="001D47FF">
              <w:rPr>
                <w:rFonts w:ascii="Calibri" w:hAnsi="Calibri" w:cs="Calibri"/>
              </w:rPr>
              <w:br/>
              <w:t>Composition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Spring 2011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Pr="001D47FF" w:rsidRDefault="008A21B4" w:rsidP="0008753E">
            <w:pPr>
              <w:jc w:val="center"/>
              <w:rPr>
                <w:rFonts w:ascii="Calibri" w:hAnsi="Calibri" w:cs="Calibri"/>
              </w:rPr>
            </w:pPr>
            <w:r w:rsidRPr="001D47FF">
              <w:rPr>
                <w:rFonts w:ascii="Calibri" w:hAnsi="Calibri" w:cs="Calibri"/>
              </w:rPr>
              <w:t>Fall 2011</w:t>
            </w:r>
          </w:p>
        </w:tc>
      </w:tr>
      <w:tr w:rsidR="008A21B4">
        <w:trPr>
          <w:trHeight w:val="885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Default="008A21B4" w:rsidP="000875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Social Studies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Default="008A21B4" w:rsidP="000875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Spring 2011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21B4" w:rsidRDefault="008A21B4" w:rsidP="000875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Fall 2011</w:t>
            </w:r>
          </w:p>
        </w:tc>
      </w:tr>
    </w:tbl>
    <w:p w:rsidR="008A21B4" w:rsidRDefault="008A21B4" w:rsidP="002F5327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8A21B4" w:rsidRPr="00892958" w:rsidRDefault="008A21B4" w:rsidP="002F5327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  <w:r w:rsidRPr="00892958">
        <w:rPr>
          <w:rFonts w:ascii="Calibri" w:hAnsi="Calibri" w:cs="Calibri"/>
          <w:b/>
          <w:bCs/>
          <w:sz w:val="28"/>
          <w:szCs w:val="28"/>
        </w:rPr>
        <w:t>AP/IB OPTIONS:</w:t>
      </w:r>
    </w:p>
    <w:p w:rsidR="008A21B4" w:rsidRDefault="008A21B4" w:rsidP="002F5327">
      <w:pPr>
        <w:autoSpaceDE w:val="0"/>
        <w:autoSpaceDN w:val="0"/>
        <w:adjustRightInd w:val="0"/>
        <w:ind w:left="360"/>
      </w:pPr>
    </w:p>
    <w:p w:rsidR="008A21B4" w:rsidRPr="00E507AE" w:rsidRDefault="008A21B4" w:rsidP="002F5327">
      <w:pPr>
        <w:autoSpaceDE w:val="0"/>
        <w:autoSpaceDN w:val="0"/>
        <w:adjustRightInd w:val="0"/>
        <w:ind w:left="360"/>
        <w:rPr>
          <w:i/>
          <w:iCs/>
        </w:rPr>
      </w:pPr>
      <w:r>
        <w:tab/>
      </w:r>
      <w:r w:rsidRPr="00E507AE">
        <w:rPr>
          <w:b/>
          <w:bCs/>
          <w:i/>
          <w:iCs/>
        </w:rPr>
        <w:t xml:space="preserve">What score is required on an AP or IB test to satisfy graduation </w:t>
      </w:r>
      <w:r w:rsidRPr="00E507AE">
        <w:rPr>
          <w:b/>
          <w:bCs/>
          <w:i/>
          <w:iCs/>
        </w:rPr>
        <w:tab/>
        <w:t>requirements?</w:t>
      </w:r>
    </w:p>
    <w:p w:rsidR="008A21B4" w:rsidRPr="00E507AE" w:rsidRDefault="008A21B4" w:rsidP="00100ACB">
      <w:pPr>
        <w:autoSpaceDE w:val="0"/>
        <w:autoSpaceDN w:val="0"/>
        <w:adjustRightInd w:val="0"/>
        <w:ind w:left="360"/>
        <w:rPr>
          <w:b/>
          <w:bCs/>
          <w:i/>
          <w:iCs/>
        </w:rPr>
      </w:pPr>
    </w:p>
    <w:p w:rsidR="008A21B4" w:rsidRDefault="008A21B4" w:rsidP="00100ACB">
      <w:pPr>
        <w:autoSpaceDE w:val="0"/>
        <w:autoSpaceDN w:val="0"/>
        <w:adjustRightInd w:val="0"/>
        <w:ind w:left="360"/>
      </w:pPr>
      <w:r>
        <w:rPr>
          <w:b/>
          <w:bCs/>
        </w:rPr>
        <w:tab/>
      </w:r>
      <w:r>
        <w:t xml:space="preserve">The Department will issue policy guidance on this question by </w:t>
      </w:r>
      <w:smartTag w:uri="urn:schemas-microsoft-com:office:smarttags" w:element="date">
        <w:smartTagPr>
          <w:attr w:name="Month" w:val="7"/>
          <w:attr w:name="Day" w:val="1"/>
          <w:attr w:name="Year" w:val="2010"/>
        </w:smartTagPr>
        <w:r>
          <w:t>July 1, 2010</w:t>
        </w:r>
      </w:smartTag>
      <w:r>
        <w:t>.</w:t>
      </w:r>
    </w:p>
    <w:p w:rsidR="008A21B4" w:rsidRDefault="008A21B4" w:rsidP="00100ACB">
      <w:pPr>
        <w:autoSpaceDE w:val="0"/>
        <w:autoSpaceDN w:val="0"/>
        <w:adjustRightInd w:val="0"/>
        <w:ind w:left="360"/>
      </w:pPr>
    </w:p>
    <w:p w:rsidR="008A21B4" w:rsidRPr="00892958" w:rsidRDefault="008A21B4" w:rsidP="00D00AEF">
      <w:pPr>
        <w:autoSpaceDE w:val="0"/>
        <w:autoSpaceDN w:val="0"/>
        <w:adjustRightInd w:val="0"/>
        <w:rPr>
          <w:rFonts w:ascii="Calibri" w:hAnsi="Calibri" w:cs="Calibri"/>
          <w:b/>
          <w:bCs/>
          <w:caps/>
          <w:sz w:val="28"/>
          <w:szCs w:val="28"/>
        </w:rPr>
      </w:pPr>
      <w:r w:rsidRPr="00892958">
        <w:rPr>
          <w:rFonts w:ascii="Calibri" w:hAnsi="Calibri" w:cs="Calibri"/>
          <w:b/>
          <w:bCs/>
          <w:caps/>
          <w:sz w:val="28"/>
          <w:szCs w:val="28"/>
        </w:rPr>
        <w:t>Alternative Pathways:</w:t>
      </w:r>
    </w:p>
    <w:p w:rsidR="008A21B4" w:rsidRDefault="008A21B4" w:rsidP="00D00AEF">
      <w:pPr>
        <w:autoSpaceDE w:val="0"/>
        <w:autoSpaceDN w:val="0"/>
        <w:adjustRightInd w:val="0"/>
        <w:rPr>
          <w:b/>
          <w:bCs/>
          <w:caps/>
        </w:rPr>
      </w:pPr>
    </w:p>
    <w:p w:rsidR="008A21B4" w:rsidRPr="00E507AE" w:rsidRDefault="008A21B4" w:rsidP="00D00AEF">
      <w:pPr>
        <w:numPr>
          <w:ilvl w:val="0"/>
          <w:numId w:val="6"/>
        </w:numPr>
        <w:autoSpaceDE w:val="0"/>
        <w:autoSpaceDN w:val="0"/>
        <w:adjustRightInd w:val="0"/>
        <w:rPr>
          <w:b/>
          <w:bCs/>
          <w:i/>
          <w:iCs/>
          <w:caps/>
        </w:rPr>
      </w:pPr>
      <w:r w:rsidRPr="00E507AE">
        <w:rPr>
          <w:b/>
          <w:bCs/>
          <w:i/>
          <w:iCs/>
          <w:caps/>
        </w:rPr>
        <w:t>H</w:t>
      </w:r>
      <w:r w:rsidRPr="00E507AE">
        <w:rPr>
          <w:b/>
          <w:bCs/>
          <w:i/>
          <w:iCs/>
        </w:rPr>
        <w:t>ow will students qualify to complete a project-based assessment?</w:t>
      </w:r>
    </w:p>
    <w:p w:rsidR="008A21B4" w:rsidRPr="00E507AE" w:rsidRDefault="008A21B4" w:rsidP="003E2EF2">
      <w:pPr>
        <w:autoSpaceDE w:val="0"/>
        <w:autoSpaceDN w:val="0"/>
        <w:adjustRightInd w:val="0"/>
        <w:rPr>
          <w:i/>
          <w:iCs/>
        </w:rPr>
      </w:pPr>
    </w:p>
    <w:p w:rsidR="008A21B4" w:rsidRPr="00D00AEF" w:rsidRDefault="008A21B4" w:rsidP="003E2EF2">
      <w:pPr>
        <w:autoSpaceDE w:val="0"/>
        <w:autoSpaceDN w:val="0"/>
        <w:adjustRightInd w:val="0"/>
        <w:ind w:left="720"/>
        <w:rPr>
          <w:caps/>
        </w:rPr>
      </w:pPr>
      <w:r>
        <w:t>Any student who does not score proficient on a Keystone Exam after two attempts will be eligible to complete a project-based assessment, provided the student has taken the course and met local attendance and supplemental instruction requirements.</w:t>
      </w:r>
    </w:p>
    <w:p w:rsidR="008A21B4" w:rsidRPr="00F075FD" w:rsidRDefault="008A21B4" w:rsidP="00F075FD">
      <w:pPr>
        <w:autoSpaceDE w:val="0"/>
        <w:autoSpaceDN w:val="0"/>
        <w:adjustRightInd w:val="0"/>
        <w:ind w:left="720"/>
        <w:rPr>
          <w:caps/>
        </w:rPr>
      </w:pPr>
    </w:p>
    <w:p w:rsidR="008A21B4" w:rsidRPr="00E507AE" w:rsidRDefault="008A21B4" w:rsidP="00D00AEF">
      <w:pPr>
        <w:numPr>
          <w:ilvl w:val="0"/>
          <w:numId w:val="6"/>
        </w:numPr>
        <w:autoSpaceDE w:val="0"/>
        <w:autoSpaceDN w:val="0"/>
        <w:adjustRightInd w:val="0"/>
        <w:rPr>
          <w:b/>
          <w:bCs/>
          <w:i/>
          <w:iCs/>
          <w:caps/>
        </w:rPr>
      </w:pPr>
      <w:r w:rsidRPr="00E507AE">
        <w:rPr>
          <w:b/>
          <w:bCs/>
          <w:i/>
          <w:iCs/>
        </w:rPr>
        <w:t>Can a student who scores proficient or advanced complete a project-based assessment to raise their score?</w:t>
      </w:r>
    </w:p>
    <w:p w:rsidR="008A21B4" w:rsidRPr="00E507AE" w:rsidRDefault="008A21B4" w:rsidP="00D00AEF">
      <w:pPr>
        <w:autoSpaceDE w:val="0"/>
        <w:autoSpaceDN w:val="0"/>
        <w:adjustRightInd w:val="0"/>
        <w:rPr>
          <w:b/>
          <w:bCs/>
          <w:i/>
          <w:iCs/>
          <w:caps/>
        </w:rPr>
      </w:pPr>
    </w:p>
    <w:p w:rsidR="008A21B4" w:rsidRDefault="008A21B4" w:rsidP="00D00AEF">
      <w:pPr>
        <w:autoSpaceDE w:val="0"/>
        <w:autoSpaceDN w:val="0"/>
        <w:adjustRightInd w:val="0"/>
      </w:pPr>
      <w:r>
        <w:rPr>
          <w:b/>
          <w:bCs/>
        </w:rPr>
        <w:tab/>
      </w:r>
      <w:r>
        <w:t xml:space="preserve">The project-based assessment is designed expressly to help students supplement a </w:t>
      </w:r>
      <w:r>
        <w:tab/>
        <w:t xml:space="preserve">Keystone Exam score in order to meet the graduation requirement of proficiency.  </w:t>
      </w:r>
      <w:r>
        <w:tab/>
        <w:t xml:space="preserve">A project-based assessment can raise a student’s Keystone score to the </w:t>
      </w:r>
      <w:r>
        <w:tab/>
        <w:t xml:space="preserve">proficient cut score, but not beyond it. </w:t>
      </w:r>
    </w:p>
    <w:p w:rsidR="008A21B4" w:rsidRDefault="008A21B4" w:rsidP="00D00AEF">
      <w:pPr>
        <w:autoSpaceDE w:val="0"/>
        <w:autoSpaceDN w:val="0"/>
        <w:adjustRightInd w:val="0"/>
      </w:pPr>
    </w:p>
    <w:p w:rsidR="008A21B4" w:rsidRPr="00E507AE" w:rsidRDefault="008A21B4" w:rsidP="00DE4A1B">
      <w:pPr>
        <w:numPr>
          <w:ilvl w:val="0"/>
          <w:numId w:val="6"/>
        </w:numPr>
        <w:autoSpaceDE w:val="0"/>
        <w:autoSpaceDN w:val="0"/>
        <w:adjustRightInd w:val="0"/>
        <w:rPr>
          <w:b/>
          <w:bCs/>
          <w:i/>
          <w:iCs/>
          <w:caps/>
        </w:rPr>
      </w:pPr>
      <w:r w:rsidRPr="00E507AE">
        <w:rPr>
          <w:b/>
          <w:bCs/>
          <w:i/>
          <w:iCs/>
        </w:rPr>
        <w:t xml:space="preserve">If a project-based assessment raises a student’s Keystone score, will that proficient score count toward AYP? </w:t>
      </w:r>
    </w:p>
    <w:p w:rsidR="008A21B4" w:rsidRPr="00E507AE" w:rsidRDefault="008A21B4" w:rsidP="00920B6E">
      <w:pPr>
        <w:autoSpaceDE w:val="0"/>
        <w:autoSpaceDN w:val="0"/>
        <w:adjustRightInd w:val="0"/>
        <w:rPr>
          <w:i/>
          <w:iCs/>
        </w:rPr>
      </w:pPr>
    </w:p>
    <w:p w:rsidR="008A21B4" w:rsidRDefault="008A21B4" w:rsidP="00DE4A1B">
      <w:pPr>
        <w:autoSpaceDE w:val="0"/>
        <w:autoSpaceDN w:val="0"/>
        <w:adjustRightInd w:val="0"/>
        <w:ind w:left="720"/>
        <w:rPr>
          <w:caps/>
        </w:rPr>
      </w:pPr>
      <w:r>
        <w:t xml:space="preserve">No.  The score from a student’s original exam is used for the purpose of determining AYP.  </w:t>
      </w:r>
    </w:p>
    <w:p w:rsidR="008A21B4" w:rsidRDefault="008A21B4" w:rsidP="00D00AEF">
      <w:pPr>
        <w:autoSpaceDE w:val="0"/>
        <w:autoSpaceDN w:val="0"/>
        <w:adjustRightInd w:val="0"/>
        <w:rPr>
          <w:b/>
          <w:bCs/>
          <w:caps/>
        </w:rPr>
      </w:pPr>
    </w:p>
    <w:p w:rsidR="008A21B4" w:rsidRPr="00E507AE" w:rsidRDefault="008A21B4" w:rsidP="00AD5191">
      <w:pPr>
        <w:numPr>
          <w:ilvl w:val="0"/>
          <w:numId w:val="6"/>
        </w:numPr>
        <w:autoSpaceDE w:val="0"/>
        <w:autoSpaceDN w:val="0"/>
        <w:adjustRightInd w:val="0"/>
        <w:rPr>
          <w:b/>
          <w:bCs/>
          <w:i/>
          <w:iCs/>
          <w:caps/>
        </w:rPr>
      </w:pPr>
      <w:r w:rsidRPr="00E507AE">
        <w:rPr>
          <w:b/>
          <w:bCs/>
          <w:i/>
          <w:iCs/>
          <w:caps/>
        </w:rPr>
        <w:t>H</w:t>
      </w:r>
      <w:r w:rsidRPr="00E507AE">
        <w:rPr>
          <w:b/>
          <w:bCs/>
          <w:i/>
          <w:iCs/>
        </w:rPr>
        <w:t>ow will the Secretary evaluate waiver requests based on extenuating circumstances?</w:t>
      </w:r>
    </w:p>
    <w:p w:rsidR="008A21B4" w:rsidRPr="00E507AE" w:rsidRDefault="008A21B4" w:rsidP="00894E56">
      <w:pPr>
        <w:autoSpaceDE w:val="0"/>
        <w:autoSpaceDN w:val="0"/>
        <w:adjustRightInd w:val="0"/>
        <w:rPr>
          <w:b/>
          <w:bCs/>
          <w:i/>
          <w:iCs/>
        </w:rPr>
      </w:pPr>
    </w:p>
    <w:p w:rsidR="008A21B4" w:rsidRDefault="008A21B4" w:rsidP="001B6E66">
      <w:pPr>
        <w:autoSpaceDE w:val="0"/>
        <w:autoSpaceDN w:val="0"/>
        <w:adjustRightInd w:val="0"/>
      </w:pPr>
      <w:r>
        <w:rPr>
          <w:b/>
          <w:bCs/>
        </w:rPr>
        <w:tab/>
      </w:r>
      <w:r>
        <w:t xml:space="preserve">The regulation includes a waiver provision – modeled on the policy used in </w:t>
      </w:r>
      <w:r>
        <w:tab/>
      </w:r>
      <w:smartTag w:uri="urn:schemas-microsoft-com:office:smarttags" w:element="place">
        <w:smartTag w:uri="urn:schemas-microsoft-com:office:smarttags" w:element="State">
          <w:r>
            <w:t>Massachusetts</w:t>
          </w:r>
        </w:smartTag>
      </w:smartTag>
      <w:r>
        <w:t xml:space="preserve"> – that allows the Secretary to exempt individual students from the </w:t>
      </w:r>
      <w:r>
        <w:tab/>
        <w:t xml:space="preserve">new graduation requirements based on personal or family crisis or other </w:t>
      </w:r>
      <w:r>
        <w:tab/>
        <w:t xml:space="preserve">extenuating circumstances.  The waiver request must be accompanied by an </w:t>
      </w:r>
      <w:r>
        <w:tab/>
        <w:t xml:space="preserve">endorsement from the student’s local superintendent.  The Department will issue </w:t>
      </w:r>
      <w:r>
        <w:tab/>
        <w:t xml:space="preserve">additional policy guidance on this question by </w:t>
      </w:r>
      <w:smartTag w:uri="urn:schemas-microsoft-com:office:smarttags" w:element="date">
        <w:smartTagPr>
          <w:attr w:name="Month" w:val="7"/>
          <w:attr w:name="Day" w:val="1"/>
          <w:attr w:name="Year" w:val="2010"/>
        </w:smartTagPr>
        <w:r>
          <w:t>July 1, 2010</w:t>
        </w:r>
      </w:smartTag>
      <w:r>
        <w:t>.</w:t>
      </w:r>
    </w:p>
    <w:p w:rsidR="008A21B4" w:rsidRDefault="008A21B4" w:rsidP="001B6E66">
      <w:pPr>
        <w:autoSpaceDE w:val="0"/>
        <w:autoSpaceDN w:val="0"/>
        <w:adjustRightInd w:val="0"/>
      </w:pPr>
    </w:p>
    <w:sectPr w:rsidR="008A21B4" w:rsidSect="001D47FF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1B4" w:rsidRDefault="008A21B4" w:rsidP="003C364B">
      <w:r>
        <w:separator/>
      </w:r>
    </w:p>
  </w:endnote>
  <w:endnote w:type="continuationSeparator" w:id="0">
    <w:p w:rsidR="008A21B4" w:rsidRDefault="008A21B4" w:rsidP="003C36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1B4" w:rsidRDefault="008A21B4" w:rsidP="008805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21B4" w:rsidRDefault="008A21B4" w:rsidP="001D47F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1B4" w:rsidRDefault="008A21B4" w:rsidP="008805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8A21B4" w:rsidRDefault="008A21B4" w:rsidP="001D47F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1B4" w:rsidRDefault="008A21B4" w:rsidP="003C364B">
      <w:r>
        <w:separator/>
      </w:r>
    </w:p>
  </w:footnote>
  <w:footnote w:type="continuationSeparator" w:id="0">
    <w:p w:rsidR="008A21B4" w:rsidRDefault="008A21B4" w:rsidP="003C36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3FEE"/>
    <w:multiLevelType w:val="hybridMultilevel"/>
    <w:tmpl w:val="0660E9F6"/>
    <w:lvl w:ilvl="0" w:tplc="C41E2B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63FD0"/>
    <w:multiLevelType w:val="hybridMultilevel"/>
    <w:tmpl w:val="375AE7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765049"/>
    <w:multiLevelType w:val="hybridMultilevel"/>
    <w:tmpl w:val="7D640AB6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3">
    <w:nsid w:val="21E336BB"/>
    <w:multiLevelType w:val="hybridMultilevel"/>
    <w:tmpl w:val="DF6A8FEA"/>
    <w:lvl w:ilvl="0" w:tplc="C41E2B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DCC21E6"/>
    <w:multiLevelType w:val="hybridMultilevel"/>
    <w:tmpl w:val="5B22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13459E"/>
    <w:multiLevelType w:val="hybridMultilevel"/>
    <w:tmpl w:val="25243288"/>
    <w:lvl w:ilvl="0" w:tplc="D904E78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E66"/>
    <w:rsid w:val="000165E3"/>
    <w:rsid w:val="00082AA2"/>
    <w:rsid w:val="0008753E"/>
    <w:rsid w:val="00092C14"/>
    <w:rsid w:val="000B3F3E"/>
    <w:rsid w:val="00100ACB"/>
    <w:rsid w:val="00126248"/>
    <w:rsid w:val="00165483"/>
    <w:rsid w:val="001B6E66"/>
    <w:rsid w:val="001D47FF"/>
    <w:rsid w:val="001E7DB6"/>
    <w:rsid w:val="002F5327"/>
    <w:rsid w:val="00324B1A"/>
    <w:rsid w:val="00356C06"/>
    <w:rsid w:val="003832E0"/>
    <w:rsid w:val="003B3986"/>
    <w:rsid w:val="003C364B"/>
    <w:rsid w:val="003E2EF2"/>
    <w:rsid w:val="00433B24"/>
    <w:rsid w:val="00437C7A"/>
    <w:rsid w:val="004705D7"/>
    <w:rsid w:val="004B3264"/>
    <w:rsid w:val="004E42A6"/>
    <w:rsid w:val="0052066E"/>
    <w:rsid w:val="0054448B"/>
    <w:rsid w:val="005B60A3"/>
    <w:rsid w:val="0061016F"/>
    <w:rsid w:val="00636BB4"/>
    <w:rsid w:val="00691BE5"/>
    <w:rsid w:val="00694EF8"/>
    <w:rsid w:val="006A171F"/>
    <w:rsid w:val="00723F3A"/>
    <w:rsid w:val="007615E9"/>
    <w:rsid w:val="007D1E61"/>
    <w:rsid w:val="008546E6"/>
    <w:rsid w:val="00880584"/>
    <w:rsid w:val="00892958"/>
    <w:rsid w:val="00894E56"/>
    <w:rsid w:val="008A21B4"/>
    <w:rsid w:val="008C0375"/>
    <w:rsid w:val="00920B6E"/>
    <w:rsid w:val="009B4FE4"/>
    <w:rsid w:val="00A01A07"/>
    <w:rsid w:val="00A20086"/>
    <w:rsid w:val="00AD5191"/>
    <w:rsid w:val="00B92C18"/>
    <w:rsid w:val="00BA1FAC"/>
    <w:rsid w:val="00BD2DAB"/>
    <w:rsid w:val="00BD637C"/>
    <w:rsid w:val="00BE355E"/>
    <w:rsid w:val="00C12B1B"/>
    <w:rsid w:val="00C42FCB"/>
    <w:rsid w:val="00C64AFB"/>
    <w:rsid w:val="00C722CE"/>
    <w:rsid w:val="00CB5A8B"/>
    <w:rsid w:val="00CD5ADA"/>
    <w:rsid w:val="00D00AEF"/>
    <w:rsid w:val="00DE4A1B"/>
    <w:rsid w:val="00DF28B3"/>
    <w:rsid w:val="00DF5457"/>
    <w:rsid w:val="00E507AE"/>
    <w:rsid w:val="00F075FD"/>
    <w:rsid w:val="00F2793B"/>
    <w:rsid w:val="00FB3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time"/>
  <w:smartTagType w:namespaceuri="urn:schemas-microsoft-com:office:smarttags" w:name="stockticker"/>
  <w:smartTagType w:namespaceuri="urn:schemas-microsoft-com:office:smarttags" w:name="date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48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437C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37C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37C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7C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C7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1D47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448B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1D47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93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1191</Words>
  <Characters>6792</Characters>
  <Application>Microsoft Office Outlook</Application>
  <DocSecurity>0</DocSecurity>
  <Lines>0</Lines>
  <Paragraphs>0</Paragraphs>
  <ScaleCrop>false</ScaleCrop>
  <Company>PA Department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STRONGER HIGH SCHOOL GRADUATION REQUIREMENTS</dc:title>
  <dc:subject/>
  <dc:creator>PA Department of Education</dc:creator>
  <cp:keywords/>
  <dc:description/>
  <cp:lastModifiedBy>PA Department of Education</cp:lastModifiedBy>
  <cp:revision>2</cp:revision>
  <cp:lastPrinted>2010-01-28T21:13:00Z</cp:lastPrinted>
  <dcterms:created xsi:type="dcterms:W3CDTF">2010-02-09T19:50:00Z</dcterms:created>
  <dcterms:modified xsi:type="dcterms:W3CDTF">2010-02-09T19:50:00Z</dcterms:modified>
</cp:coreProperties>
</file>